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3C2C" w14:textId="77777777" w:rsidR="00B941DB" w:rsidRPr="00B941DB" w:rsidRDefault="00B941DB" w:rsidP="00B941DB">
      <w:r w:rsidRPr="00B941DB">
        <w:rPr>
          <w:b/>
          <w:bCs/>
        </w:rPr>
        <w:t>PRESS RELEASE</w:t>
      </w:r>
    </w:p>
    <w:p w14:paraId="3ED71B0F" w14:textId="77777777" w:rsidR="00B941DB" w:rsidRPr="00B941DB" w:rsidRDefault="00B941DB" w:rsidP="00B941DB">
      <w:r w:rsidRPr="00B941DB">
        <w:rPr>
          <w:b/>
          <w:bCs/>
        </w:rPr>
        <w:t>FOR IMMEDIATE RELEASE</w:t>
      </w:r>
    </w:p>
    <w:p w14:paraId="5D35D554" w14:textId="77777777" w:rsidR="00B941DB" w:rsidRPr="00B941DB" w:rsidRDefault="00B941DB" w:rsidP="00B941DB">
      <w:r w:rsidRPr="00B941DB">
        <w:rPr>
          <w:b/>
          <w:bCs/>
        </w:rPr>
        <w:t xml:space="preserve">Media Press Group and </w:t>
      </w:r>
      <w:proofErr w:type="spellStart"/>
      <w:r w:rsidRPr="00B941DB">
        <w:rPr>
          <w:b/>
          <w:bCs/>
        </w:rPr>
        <w:t>Webedia</w:t>
      </w:r>
      <w:proofErr w:type="spellEnd"/>
      <w:r w:rsidRPr="00B941DB">
        <w:rPr>
          <w:b/>
          <w:bCs/>
        </w:rPr>
        <w:t xml:space="preserve"> expand strategic streaming metadata partnership across major international markets</w:t>
      </w:r>
    </w:p>
    <w:p w14:paraId="7545F145" w14:textId="77777777" w:rsidR="00B941DB" w:rsidRPr="00B941DB" w:rsidRDefault="00B941DB" w:rsidP="00B941DB">
      <w:r w:rsidRPr="00B941DB">
        <w:rPr>
          <w:b/>
          <w:bCs/>
        </w:rPr>
        <w:t xml:space="preserve">The collaboration will support leading local entertainment brands such as </w:t>
      </w:r>
      <w:proofErr w:type="spellStart"/>
      <w:r w:rsidRPr="00B941DB">
        <w:rPr>
          <w:b/>
          <w:bCs/>
        </w:rPr>
        <w:t>AlloCiné</w:t>
      </w:r>
      <w:proofErr w:type="spellEnd"/>
      <w:r w:rsidRPr="00B941DB">
        <w:rPr>
          <w:b/>
          <w:bCs/>
        </w:rPr>
        <w:t xml:space="preserve">, FILMSTARTS, </w:t>
      </w:r>
      <w:proofErr w:type="spellStart"/>
      <w:r w:rsidRPr="00B941DB">
        <w:rPr>
          <w:b/>
          <w:bCs/>
        </w:rPr>
        <w:t>Moviepilot</w:t>
      </w:r>
      <w:proofErr w:type="spellEnd"/>
      <w:r w:rsidRPr="00B941DB">
        <w:rPr>
          <w:b/>
          <w:bCs/>
        </w:rPr>
        <w:t xml:space="preserve">, </w:t>
      </w:r>
      <w:proofErr w:type="spellStart"/>
      <w:r w:rsidRPr="00B941DB">
        <w:rPr>
          <w:b/>
          <w:bCs/>
        </w:rPr>
        <w:t>SensaCine</w:t>
      </w:r>
      <w:proofErr w:type="spellEnd"/>
      <w:r w:rsidRPr="00B941DB">
        <w:rPr>
          <w:b/>
          <w:bCs/>
        </w:rPr>
        <w:t xml:space="preserve"> and </w:t>
      </w:r>
      <w:proofErr w:type="spellStart"/>
      <w:r w:rsidRPr="00B941DB">
        <w:rPr>
          <w:b/>
          <w:bCs/>
        </w:rPr>
        <w:t>AdoroCinema</w:t>
      </w:r>
      <w:proofErr w:type="spellEnd"/>
      <w:r w:rsidRPr="00B941DB">
        <w:rPr>
          <w:b/>
          <w:bCs/>
        </w:rPr>
        <w:t xml:space="preserve">, combining global data </w:t>
      </w:r>
      <w:proofErr w:type="spellStart"/>
      <w:r w:rsidRPr="00B941DB">
        <w:rPr>
          <w:b/>
          <w:bCs/>
        </w:rPr>
        <w:t>standardisation</w:t>
      </w:r>
      <w:proofErr w:type="spellEnd"/>
      <w:r w:rsidRPr="00B941DB">
        <w:rPr>
          <w:b/>
          <w:bCs/>
        </w:rPr>
        <w:t xml:space="preserve"> with strong local editorial expertise.</w:t>
      </w:r>
    </w:p>
    <w:p w14:paraId="1745EAA4" w14:textId="25A1D231" w:rsidR="00B941DB" w:rsidRPr="00B941DB" w:rsidRDefault="00B941DB" w:rsidP="00B941DB">
      <w:proofErr w:type="spellStart"/>
      <w:r w:rsidRPr="00B941DB">
        <w:rPr>
          <w:b/>
          <w:bCs/>
        </w:rPr>
        <w:t>Schindellegi</w:t>
      </w:r>
      <w:proofErr w:type="spellEnd"/>
      <w:r w:rsidRPr="00B941DB">
        <w:rPr>
          <w:b/>
          <w:bCs/>
        </w:rPr>
        <w:t xml:space="preserve"> / Levallois-Perret, 20 October 2026</w:t>
      </w:r>
      <w:r>
        <w:t>,</w:t>
      </w:r>
      <w:r w:rsidRPr="00B941DB">
        <w:t xml:space="preserve"> Media Press Group, one of Europe’s leading providers of TV and streaming metadata, has expanded its cooperation with </w:t>
      </w:r>
      <w:proofErr w:type="spellStart"/>
      <w:r w:rsidRPr="00B941DB">
        <w:t>Webedia</w:t>
      </w:r>
      <w:proofErr w:type="spellEnd"/>
      <w:r w:rsidRPr="00B941DB">
        <w:t xml:space="preserve"> to support a broad international streaming metadata programme across key markets including France, Germany, Spain, Brazil and further territories.</w:t>
      </w:r>
    </w:p>
    <w:p w14:paraId="704751BE" w14:textId="77777777" w:rsidR="00B941DB" w:rsidRPr="00B941DB" w:rsidRDefault="00B941DB" w:rsidP="00B941DB">
      <w:r w:rsidRPr="00B941DB">
        <w:t xml:space="preserve">The partnership covers a large multi-market scope across dozens of streaming services and is designed to help </w:t>
      </w:r>
      <w:proofErr w:type="spellStart"/>
      <w:r w:rsidRPr="00B941DB">
        <w:t>Webedia</w:t>
      </w:r>
      <w:proofErr w:type="spellEnd"/>
      <w:r w:rsidRPr="00B941DB">
        <w:t xml:space="preserve"> strengthen the consistency, quality and interoperability of entertainment data used by its leading local brands and editorial platforms. These include some of the best-known entertainment and digital media brands in their respective markets, such as </w:t>
      </w:r>
      <w:proofErr w:type="spellStart"/>
      <w:r w:rsidRPr="00B941DB">
        <w:t>AlloCiné</w:t>
      </w:r>
      <w:proofErr w:type="spellEnd"/>
      <w:r w:rsidRPr="00B941DB">
        <w:t xml:space="preserve"> in France, FILMSTARTS and </w:t>
      </w:r>
      <w:proofErr w:type="spellStart"/>
      <w:r w:rsidRPr="00B941DB">
        <w:t>Moviepilot</w:t>
      </w:r>
      <w:proofErr w:type="spellEnd"/>
      <w:r w:rsidRPr="00B941DB">
        <w:t xml:space="preserve"> in Germany, </w:t>
      </w:r>
      <w:proofErr w:type="spellStart"/>
      <w:r w:rsidRPr="00B941DB">
        <w:t>SensaCine</w:t>
      </w:r>
      <w:proofErr w:type="spellEnd"/>
      <w:r w:rsidRPr="00B941DB">
        <w:t xml:space="preserve"> in Spain, and </w:t>
      </w:r>
      <w:proofErr w:type="spellStart"/>
      <w:r w:rsidRPr="00B941DB">
        <w:t>AdoroCinema</w:t>
      </w:r>
      <w:proofErr w:type="spellEnd"/>
      <w:r w:rsidRPr="00B941DB">
        <w:t xml:space="preserve"> in Brazil.</w:t>
      </w:r>
    </w:p>
    <w:p w14:paraId="7B17E0C1" w14:textId="77777777" w:rsidR="00B941DB" w:rsidRPr="00B941DB" w:rsidRDefault="00B941DB" w:rsidP="00B941DB">
      <w:r w:rsidRPr="00B941DB">
        <w:t xml:space="preserve">At the </w:t>
      </w:r>
      <w:proofErr w:type="spellStart"/>
      <w:r w:rsidRPr="00B941DB">
        <w:t>centre</w:t>
      </w:r>
      <w:proofErr w:type="spellEnd"/>
      <w:r w:rsidRPr="00B941DB">
        <w:t xml:space="preserve"> of the cooperation is OpenID, Media Press Group’s open and vendor-neutral identification framework for entertainment metadata. Rather than adding another proprietary layer to an already fragmented market, OpenID is designed to connect and </w:t>
      </w:r>
      <w:proofErr w:type="spellStart"/>
      <w:r w:rsidRPr="00B941DB">
        <w:t>harmonise</w:t>
      </w:r>
      <w:proofErr w:type="spellEnd"/>
      <w:r w:rsidRPr="00B941DB">
        <w:t xml:space="preserve"> data across catalogues, countries, languages and platforms. For media companies, publishers and operators, this creates a more stable foundation for search, discovery, editorial workflows, catalogue management and future AI-driven use cases.</w:t>
      </w:r>
    </w:p>
    <w:p w14:paraId="5E163A55" w14:textId="77777777" w:rsidR="00B941DB" w:rsidRPr="00B941DB" w:rsidRDefault="00B941DB" w:rsidP="00B941DB">
      <w:r w:rsidRPr="00B941DB">
        <w:t xml:space="preserve">The expanded partnership reflects a broader industry challenge: streaming catalogues, local editorial databases and platform data are increasingly fragmented across territories. A single title may exist in multiple language versions, under different local names, with different editorial descriptions, availability contexts and classification logic. By combining Media Press Group’s structured metadata infrastructure with </w:t>
      </w:r>
      <w:proofErr w:type="spellStart"/>
      <w:r w:rsidRPr="00B941DB">
        <w:t>Webedia’s</w:t>
      </w:r>
      <w:proofErr w:type="spellEnd"/>
      <w:r w:rsidRPr="00B941DB">
        <w:t xml:space="preserve"> strong local entertainment brands and editorial market knowledge, the cooperation aims to create a more consistent and scalable data backbone while preserving local relevance in each market.</w:t>
      </w:r>
    </w:p>
    <w:p w14:paraId="15C8B037" w14:textId="77777777" w:rsidR="00B941DB" w:rsidRPr="00B941DB" w:rsidRDefault="00B941DB" w:rsidP="00B941DB">
      <w:r w:rsidRPr="00B941DB">
        <w:t xml:space="preserve">For Media Press Group, the project is also a reference implementation of its broader strategy: building metadata systems that work globally but remain rooted in local editorial intelligence. The company operates across 18 countries with approximately 700 employees </w:t>
      </w:r>
      <w:r w:rsidRPr="00B941DB">
        <w:lastRenderedPageBreak/>
        <w:t>and combines local editorial expertise with modern IT infrastructure, AI-supported enrichment and data integration capabilities.  </w:t>
      </w:r>
    </w:p>
    <w:p w14:paraId="4F1CDF95" w14:textId="656596C7" w:rsidR="00B941DB" w:rsidRPr="00B941DB" w:rsidRDefault="00B941DB" w:rsidP="00B941DB">
      <w:r w:rsidRPr="00B941DB">
        <w:t>“</w:t>
      </w:r>
      <w:r w:rsidRPr="00B941DB">
        <w:rPr>
          <w:i/>
          <w:iCs/>
        </w:rPr>
        <w:t>Entertainment metadata is no longer just a back-office asset. It is becoming a strategic layer for discovery, user experience, catalogue governance and platform independence,</w:t>
      </w:r>
      <w:r w:rsidRPr="00B941DB">
        <w:t xml:space="preserve">” said </w:t>
      </w:r>
      <w:r w:rsidRPr="00B941DB">
        <w:rPr>
          <w:b/>
          <w:bCs/>
        </w:rPr>
        <w:t>Miłosz Cechnicki</w:t>
      </w:r>
      <w:r w:rsidRPr="00B941DB">
        <w:t>, COO of Media Press Group. “</w:t>
      </w:r>
      <w:r w:rsidRPr="00B941DB">
        <w:rPr>
          <w:i/>
          <w:iCs/>
        </w:rPr>
        <w:t xml:space="preserve">Our cooperation with </w:t>
      </w:r>
      <w:proofErr w:type="spellStart"/>
      <w:r w:rsidRPr="00B941DB">
        <w:rPr>
          <w:i/>
          <w:iCs/>
        </w:rPr>
        <w:t>Webedia</w:t>
      </w:r>
      <w:proofErr w:type="spellEnd"/>
      <w:r w:rsidRPr="00B941DB">
        <w:rPr>
          <w:i/>
          <w:iCs/>
        </w:rPr>
        <w:t xml:space="preserve"> shows how global </w:t>
      </w:r>
      <w:proofErr w:type="spellStart"/>
      <w:r w:rsidRPr="00B941DB">
        <w:rPr>
          <w:i/>
          <w:iCs/>
        </w:rPr>
        <w:t>standardisation</w:t>
      </w:r>
      <w:proofErr w:type="spellEnd"/>
      <w:r w:rsidRPr="00B941DB">
        <w:rPr>
          <w:i/>
          <w:iCs/>
        </w:rPr>
        <w:t xml:space="preserve"> and local editorial excellence can work together. With OpenID, we are helping create a more interoperable metadata ecosystem</w:t>
      </w:r>
      <w:r>
        <w:rPr>
          <w:i/>
          <w:iCs/>
        </w:rPr>
        <w:t>,</w:t>
      </w:r>
      <w:r w:rsidRPr="00B941DB">
        <w:rPr>
          <w:i/>
          <w:iCs/>
        </w:rPr>
        <w:t xml:space="preserve"> one that supports publishers, platforms and operators without locking them into closed proprietary structures.</w:t>
      </w:r>
      <w:r w:rsidRPr="00B941DB">
        <w:t>”</w:t>
      </w:r>
    </w:p>
    <w:p w14:paraId="21BA3A69" w14:textId="77777777" w:rsidR="00B941DB" w:rsidRPr="00B941DB" w:rsidRDefault="00B941DB" w:rsidP="00B941DB">
      <w:r w:rsidRPr="00B941DB">
        <w:t>“</w:t>
      </w:r>
      <w:r w:rsidRPr="00B941DB">
        <w:rPr>
          <w:i/>
          <w:iCs/>
        </w:rPr>
        <w:t>Working with Media Press Group allows us to combine strong local editorial expertise with a scalable and consistent data framework across markets,” said Julien Drouais, Managing Director Cinema Publishing. “This is essential to further improve the quality and coherence of our entertainment platforms</w:t>
      </w:r>
      <w:r w:rsidRPr="00B941DB">
        <w:t>.”</w:t>
      </w:r>
    </w:p>
    <w:p w14:paraId="005F9B7A" w14:textId="77777777" w:rsidR="00B941DB" w:rsidRPr="00B941DB" w:rsidRDefault="00B941DB" w:rsidP="00B941DB">
      <w:r w:rsidRPr="00B941DB">
        <w:t xml:space="preserve">The partnership is particularly relevant at a time when major telecom operators and entertainment platforms are reassessing how </w:t>
      </w:r>
      <w:proofErr w:type="gramStart"/>
      <w:r w:rsidRPr="00B941DB">
        <w:t>metadata</w:t>
      </w:r>
      <w:proofErr w:type="gramEnd"/>
      <w:r w:rsidRPr="00B941DB">
        <w:t xml:space="preserve"> supports their next-generation TV and streaming products. Large-scale EPG and VOD environments increasingly require consistent cross-market identifiers, strong local language quality, migration flexibility, rights-aware workflows and the ability to connect linear, on-demand and streaming catalogues into one coherent user experience.</w:t>
      </w:r>
    </w:p>
    <w:p w14:paraId="6EDC35D0" w14:textId="77777777" w:rsidR="00B941DB" w:rsidRPr="00B941DB" w:rsidRDefault="00B941DB" w:rsidP="00B941DB">
      <w:proofErr w:type="spellStart"/>
      <w:r w:rsidRPr="00B941DB">
        <w:t>Webedia</w:t>
      </w:r>
      <w:proofErr w:type="spellEnd"/>
      <w:r w:rsidRPr="00B941DB">
        <w:t xml:space="preserve"> is one of the world’s leading players in digital entertainment, operating major media and community brands across cinema, gaming, food, technology, lifestyle and entertainment. Its local brands reach large digital audiences and play an important role in how users discover, understand and engage with movies, series, games and entertainment content in their own languages and cultural contexts.</w:t>
      </w:r>
    </w:p>
    <w:p w14:paraId="110969FF" w14:textId="77777777" w:rsidR="00B941DB" w:rsidRPr="00B941DB" w:rsidRDefault="00B941DB" w:rsidP="00B941DB">
      <w:r w:rsidRPr="00B941DB">
        <w:t xml:space="preserve">The cooperation between Media Press Group and </w:t>
      </w:r>
      <w:proofErr w:type="spellStart"/>
      <w:r w:rsidRPr="00B941DB">
        <w:t>Webedia</w:t>
      </w:r>
      <w:proofErr w:type="spellEnd"/>
      <w:r w:rsidRPr="00B941DB">
        <w:t xml:space="preserve"> will also include joint communication activities and a future case study, positioning the project as a reference model for scalable, </w:t>
      </w:r>
      <w:proofErr w:type="spellStart"/>
      <w:r w:rsidRPr="00B941DB">
        <w:t>localised</w:t>
      </w:r>
      <w:proofErr w:type="spellEnd"/>
      <w:r w:rsidRPr="00B941DB">
        <w:t xml:space="preserve"> and interoperable entertainment metadata operations.</w:t>
      </w:r>
    </w:p>
    <w:p w14:paraId="56B4DF59" w14:textId="77777777" w:rsidR="00B941DB" w:rsidRDefault="00B941DB">
      <w:pPr>
        <w:rPr>
          <w:b/>
          <w:bCs/>
        </w:rPr>
      </w:pPr>
      <w:r>
        <w:rPr>
          <w:b/>
          <w:bCs/>
        </w:rPr>
        <w:br w:type="page"/>
      </w:r>
    </w:p>
    <w:p w14:paraId="3134200C" w14:textId="0556317B" w:rsidR="00B941DB" w:rsidRPr="00B941DB" w:rsidRDefault="00B941DB" w:rsidP="00B941DB">
      <w:r w:rsidRPr="00B941DB">
        <w:rPr>
          <w:b/>
          <w:bCs/>
        </w:rPr>
        <w:lastRenderedPageBreak/>
        <w:t>About Media Press Group</w:t>
      </w:r>
    </w:p>
    <w:p w14:paraId="37BE3FFB" w14:textId="77777777" w:rsidR="00B941DB" w:rsidRPr="00B941DB" w:rsidRDefault="00B941DB" w:rsidP="00B941DB">
      <w:r w:rsidRPr="00B941DB">
        <w:t xml:space="preserve">Media Press Group is one of Europe’s leading providers of TV and streaming </w:t>
      </w:r>
      <w:proofErr w:type="gramStart"/>
      <w:r w:rsidRPr="00B941DB">
        <w:t>metadata</w:t>
      </w:r>
      <w:proofErr w:type="gramEnd"/>
      <w:r w:rsidRPr="00B941DB">
        <w:t>, serving TV platforms, broadcasters, media companies and operators. With locations in 18 countries and approximately 700 employees, the group combines local editorial expertise, advanced data processing, AI-supported enrichment and modern IT infrastructure to deliver scalable metadata solutions for linear TV, VOD, streaming and next-generation discovery services.</w:t>
      </w:r>
    </w:p>
    <w:p w14:paraId="18A94EF0" w14:textId="77777777" w:rsidR="00B941DB" w:rsidRPr="00B941DB" w:rsidRDefault="00B941DB" w:rsidP="00B941DB">
      <w:r w:rsidRPr="00B941DB">
        <w:rPr>
          <w:b/>
          <w:bCs/>
        </w:rPr>
        <w:t xml:space="preserve">About </w:t>
      </w:r>
      <w:proofErr w:type="spellStart"/>
      <w:r w:rsidRPr="00B941DB">
        <w:rPr>
          <w:b/>
          <w:bCs/>
        </w:rPr>
        <w:t>Webedia</w:t>
      </w:r>
      <w:proofErr w:type="spellEnd"/>
    </w:p>
    <w:p w14:paraId="3245FCFE" w14:textId="77777777" w:rsidR="00B941DB" w:rsidRPr="00B941DB" w:rsidRDefault="00B941DB" w:rsidP="00B941DB">
      <w:proofErr w:type="spellStart"/>
      <w:r w:rsidRPr="00B941DB">
        <w:t>Webedia</w:t>
      </w:r>
      <w:proofErr w:type="spellEnd"/>
      <w:r w:rsidRPr="00B941DB">
        <w:t xml:space="preserve"> is one of the world's leading players in online entertainment. With a presence in more than 15 countries, the group integrates production, media and digital creative activities into leading vertical models, particularly in the cinema, video game and food sectors. </w:t>
      </w:r>
    </w:p>
    <w:p w14:paraId="420771C4" w14:textId="77777777" w:rsidR="00B941DB" w:rsidRPr="00B941DB" w:rsidRDefault="00B941DB" w:rsidP="00B941DB">
      <w:proofErr w:type="spellStart"/>
      <w:r w:rsidRPr="00B941DB">
        <w:t>Webedia</w:t>
      </w:r>
      <w:proofErr w:type="spellEnd"/>
      <w:r w:rsidRPr="00B941DB">
        <w:t xml:space="preserve"> publishes the iconic media brands </w:t>
      </w:r>
      <w:proofErr w:type="spellStart"/>
      <w:r w:rsidRPr="00B941DB">
        <w:t>AlloCiné</w:t>
      </w:r>
      <w:proofErr w:type="spellEnd"/>
      <w:r w:rsidRPr="00B941DB">
        <w:t xml:space="preserve">, </w:t>
      </w:r>
      <w:proofErr w:type="spellStart"/>
      <w:r w:rsidRPr="00B941DB">
        <w:t>Sensacine</w:t>
      </w:r>
      <w:proofErr w:type="spellEnd"/>
      <w:r w:rsidRPr="00B941DB">
        <w:t xml:space="preserve">, Jeuxvideo.com, </w:t>
      </w:r>
      <w:proofErr w:type="spellStart"/>
      <w:r w:rsidRPr="00B941DB">
        <w:t>Xataka</w:t>
      </w:r>
      <w:proofErr w:type="spellEnd"/>
      <w:r w:rsidRPr="00B941DB">
        <w:t xml:space="preserve">, </w:t>
      </w:r>
      <w:proofErr w:type="spellStart"/>
      <w:r w:rsidRPr="00B941DB">
        <w:t>Purepeople</w:t>
      </w:r>
      <w:proofErr w:type="spellEnd"/>
      <w:r w:rsidRPr="00B941DB">
        <w:t xml:space="preserve">, </w:t>
      </w:r>
      <w:proofErr w:type="spellStart"/>
      <w:r w:rsidRPr="00B941DB">
        <w:t>Todogustoso</w:t>
      </w:r>
      <w:proofErr w:type="spellEnd"/>
      <w:proofErr w:type="gramStart"/>
      <w:r w:rsidRPr="00B941DB">
        <w:t xml:space="preserve">, </w:t>
      </w:r>
      <w:proofErr w:type="spellStart"/>
      <w:r w:rsidRPr="00B941DB">
        <w:t>easyVoyage</w:t>
      </w:r>
      <w:proofErr w:type="spellEnd"/>
      <w:proofErr w:type="gramEnd"/>
      <w:r w:rsidRPr="00B941DB">
        <w:t xml:space="preserve">. Furthermore, </w:t>
      </w:r>
      <w:proofErr w:type="spellStart"/>
      <w:r w:rsidRPr="00B941DB">
        <w:t>Webedia</w:t>
      </w:r>
      <w:proofErr w:type="spellEnd"/>
      <w:r w:rsidRPr="00B941DB">
        <w:t xml:space="preserve"> supports the digital creations of El </w:t>
      </w:r>
      <w:proofErr w:type="spellStart"/>
      <w:r w:rsidRPr="00B941DB">
        <w:t>Rubius</w:t>
      </w:r>
      <w:proofErr w:type="spellEnd"/>
      <w:r w:rsidRPr="00B941DB">
        <w:t xml:space="preserve"> (Spain), </w:t>
      </w:r>
      <w:proofErr w:type="spellStart"/>
      <w:r w:rsidRPr="00B941DB">
        <w:t>Inoxtag</w:t>
      </w:r>
      <w:proofErr w:type="spellEnd"/>
      <w:r w:rsidRPr="00B941DB">
        <w:t xml:space="preserve"> (France), Anna </w:t>
      </w:r>
      <w:proofErr w:type="spellStart"/>
      <w:r w:rsidRPr="00B941DB">
        <w:t>Sarelly</w:t>
      </w:r>
      <w:proofErr w:type="spellEnd"/>
      <w:r w:rsidRPr="00B941DB">
        <w:t xml:space="preserve"> (Latam), </w:t>
      </w:r>
      <w:proofErr w:type="spellStart"/>
      <w:r w:rsidRPr="00B941DB">
        <w:t>reZigiusz</w:t>
      </w:r>
      <w:proofErr w:type="spellEnd"/>
      <w:r w:rsidRPr="00B941DB">
        <w:t xml:space="preserve"> (Poland), </w:t>
      </w:r>
      <w:proofErr w:type="spellStart"/>
      <w:r w:rsidRPr="00B941DB">
        <w:t>ungespielt</w:t>
      </w:r>
      <w:proofErr w:type="spellEnd"/>
      <w:r w:rsidRPr="00B941DB">
        <w:t xml:space="preserve"> (Germany), and many more. </w:t>
      </w:r>
    </w:p>
    <w:p w14:paraId="32A44FB6" w14:textId="77777777" w:rsidR="00B941DB" w:rsidRPr="00B941DB" w:rsidRDefault="00B941DB" w:rsidP="00B941DB">
      <w:r w:rsidRPr="00B941DB">
        <w:t xml:space="preserve">Through its various studios, </w:t>
      </w:r>
      <w:proofErr w:type="spellStart"/>
      <w:r w:rsidRPr="00B941DB">
        <w:t>Webedia</w:t>
      </w:r>
      <w:proofErr w:type="spellEnd"/>
      <w:r w:rsidRPr="00B941DB">
        <w:t xml:space="preserve"> also produces hit </w:t>
      </w:r>
      <w:proofErr w:type="spellStart"/>
      <w:r w:rsidRPr="00B941DB">
        <w:t>programmes</w:t>
      </w:r>
      <w:proofErr w:type="spellEnd"/>
      <w:r w:rsidRPr="00B941DB">
        <w:t>, documentaries and dramas such as Sept à Huit (</w:t>
      </w:r>
      <w:proofErr w:type="spellStart"/>
      <w:r w:rsidRPr="00B941DB">
        <w:t>Eléphant</w:t>
      </w:r>
      <w:proofErr w:type="spellEnd"/>
      <w:r w:rsidRPr="00B941DB">
        <w:t xml:space="preserve"> - France), Les rencontres du </w:t>
      </w:r>
      <w:proofErr w:type="spellStart"/>
      <w:r w:rsidRPr="00B941DB">
        <w:t>Papotin</w:t>
      </w:r>
      <w:proofErr w:type="spellEnd"/>
      <w:r w:rsidRPr="00B941DB">
        <w:t xml:space="preserve"> (</w:t>
      </w:r>
      <w:proofErr w:type="spellStart"/>
      <w:r w:rsidRPr="00B941DB">
        <w:t>Kiosco</w:t>
      </w:r>
      <w:proofErr w:type="spellEnd"/>
      <w:r w:rsidRPr="00B941DB">
        <w:t xml:space="preserve"> - France), Daily News (</w:t>
      </w:r>
      <w:proofErr w:type="spellStart"/>
      <w:r w:rsidRPr="00B941DB">
        <w:t>Gamestar</w:t>
      </w:r>
      <w:proofErr w:type="spellEnd"/>
      <w:r w:rsidRPr="00B941DB">
        <w:t xml:space="preserve"> - Germany) </w:t>
      </w:r>
      <w:proofErr w:type="spellStart"/>
      <w:r w:rsidRPr="00B941DB">
        <w:t>Parafernalha</w:t>
      </w:r>
      <w:proofErr w:type="spellEnd"/>
      <w:r w:rsidRPr="00B941DB">
        <w:t xml:space="preserve"> (Brazil) and Week-end Family (</w:t>
      </w:r>
      <w:proofErr w:type="spellStart"/>
      <w:r w:rsidRPr="00B941DB">
        <w:t>Eléphant</w:t>
      </w:r>
      <w:proofErr w:type="spellEnd"/>
      <w:r w:rsidRPr="00B941DB">
        <w:t xml:space="preserve"> - Disney</w:t>
      </w:r>
      <w:proofErr w:type="gramStart"/>
      <w:r w:rsidRPr="00B941DB">
        <w:t>+)...</w:t>
      </w:r>
      <w:proofErr w:type="gramEnd"/>
    </w:p>
    <w:p w14:paraId="4DFC7858" w14:textId="133F1A2A" w:rsidR="001F03C1" w:rsidRDefault="00B941DB">
      <w:r>
        <w:br w:type="page"/>
      </w:r>
      <w:r>
        <w:rPr>
          <w:noProof/>
        </w:rPr>
        <w:lastRenderedPageBreak/>
        <w:drawing>
          <wp:inline distT="0" distB="0" distL="0" distR="0" wp14:anchorId="5055E34C" wp14:editId="19212218">
            <wp:extent cx="6081938" cy="3422910"/>
            <wp:effectExtent l="0" t="0" r="0" b="6350"/>
            <wp:docPr id="4077305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01792" cy="3434084"/>
                    </a:xfrm>
                    <a:prstGeom prst="rect">
                      <a:avLst/>
                    </a:prstGeom>
                    <a:noFill/>
                  </pic:spPr>
                </pic:pic>
              </a:graphicData>
            </a:graphic>
          </wp:inline>
        </w:drawing>
      </w:r>
    </w:p>
    <w:p w14:paraId="6F35D936" w14:textId="0E9B78DD" w:rsidR="00B941DB" w:rsidRDefault="00B941DB">
      <w:r>
        <w:rPr>
          <w:noProof/>
        </w:rPr>
        <w:drawing>
          <wp:inline distT="0" distB="0" distL="0" distR="0" wp14:anchorId="10C8FC3B" wp14:editId="34B4DA22">
            <wp:extent cx="6069785" cy="3416068"/>
            <wp:effectExtent l="0" t="0" r="7620" b="0"/>
            <wp:docPr id="12658365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3645" cy="3429497"/>
                    </a:xfrm>
                    <a:prstGeom prst="rect">
                      <a:avLst/>
                    </a:prstGeom>
                    <a:noFill/>
                  </pic:spPr>
                </pic:pic>
              </a:graphicData>
            </a:graphic>
          </wp:inline>
        </w:drawing>
      </w:r>
    </w:p>
    <w:p w14:paraId="480C4BBD" w14:textId="0FDA9041" w:rsidR="00B941DB" w:rsidRDefault="00B941DB">
      <w:r>
        <w:rPr>
          <w:noProof/>
        </w:rPr>
        <w:lastRenderedPageBreak/>
        <w:drawing>
          <wp:inline distT="0" distB="0" distL="0" distR="0" wp14:anchorId="301A220B" wp14:editId="6C3F0C83">
            <wp:extent cx="5746907" cy="7181073"/>
            <wp:effectExtent l="0" t="0" r="6350" b="1270"/>
            <wp:docPr id="5974490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5152" cy="7191376"/>
                    </a:xfrm>
                    <a:prstGeom prst="rect">
                      <a:avLst/>
                    </a:prstGeom>
                    <a:noFill/>
                  </pic:spPr>
                </pic:pic>
              </a:graphicData>
            </a:graphic>
          </wp:inline>
        </w:drawing>
      </w:r>
    </w:p>
    <w:p w14:paraId="4EDCD77E" w14:textId="77777777" w:rsidR="00B941DB" w:rsidRDefault="00B941DB">
      <w:r>
        <w:br w:type="page"/>
      </w:r>
    </w:p>
    <w:p w14:paraId="15D7A048" w14:textId="3BE7FC22" w:rsidR="004B4A83" w:rsidRDefault="004B4A83">
      <w:r>
        <w:rPr>
          <w:noProof/>
        </w:rPr>
        <w:lastRenderedPageBreak/>
        <w:drawing>
          <wp:inline distT="0" distB="0" distL="0" distR="0" wp14:anchorId="672918CD" wp14:editId="34CC7B72">
            <wp:extent cx="5814874" cy="7266001"/>
            <wp:effectExtent l="0" t="0" r="0" b="0"/>
            <wp:docPr id="10239659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22908" cy="7276039"/>
                    </a:xfrm>
                    <a:prstGeom prst="rect">
                      <a:avLst/>
                    </a:prstGeom>
                    <a:noFill/>
                  </pic:spPr>
                </pic:pic>
              </a:graphicData>
            </a:graphic>
          </wp:inline>
        </w:drawing>
      </w:r>
    </w:p>
    <w:p w14:paraId="4DC07F77" w14:textId="77777777" w:rsidR="004B4A83" w:rsidRDefault="004B4A83">
      <w:r>
        <w:br w:type="page"/>
      </w:r>
    </w:p>
    <w:p w14:paraId="61E22666" w14:textId="4D92CF13" w:rsidR="004B4A83" w:rsidRDefault="004B4A83">
      <w:r>
        <w:rPr>
          <w:noProof/>
        </w:rPr>
        <w:lastRenderedPageBreak/>
        <w:drawing>
          <wp:inline distT="0" distB="0" distL="0" distR="0" wp14:anchorId="72354940" wp14:editId="7B7F16B8">
            <wp:extent cx="5647142" cy="3178206"/>
            <wp:effectExtent l="0" t="0" r="0" b="3175"/>
            <wp:docPr id="13086158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4077" cy="3193365"/>
                    </a:xfrm>
                    <a:prstGeom prst="rect">
                      <a:avLst/>
                    </a:prstGeom>
                    <a:noFill/>
                  </pic:spPr>
                </pic:pic>
              </a:graphicData>
            </a:graphic>
          </wp:inline>
        </w:drawing>
      </w:r>
    </w:p>
    <w:sectPr w:rsidR="004B4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DB"/>
    <w:rsid w:val="001F03C1"/>
    <w:rsid w:val="002E0DFE"/>
    <w:rsid w:val="004B4A83"/>
    <w:rsid w:val="007A5AB1"/>
    <w:rsid w:val="00B941DB"/>
    <w:rsid w:val="00C770C0"/>
    <w:rsid w:val="00E0475F"/>
    <w:rsid w:val="00F01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300F"/>
  <w15:chartTrackingRefBased/>
  <w15:docId w15:val="{7E67E8ED-0C1E-4026-9C46-64064297B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41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41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41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41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41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41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41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41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41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1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41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41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41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41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41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41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41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41DB"/>
    <w:rPr>
      <w:rFonts w:eastAsiaTheme="majorEastAsia" w:cstheme="majorBidi"/>
      <w:color w:val="272727" w:themeColor="text1" w:themeTint="D8"/>
    </w:rPr>
  </w:style>
  <w:style w:type="paragraph" w:styleId="Title">
    <w:name w:val="Title"/>
    <w:basedOn w:val="Normal"/>
    <w:next w:val="Normal"/>
    <w:link w:val="TitleChar"/>
    <w:uiPriority w:val="10"/>
    <w:qFormat/>
    <w:rsid w:val="00B941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41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41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41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41DB"/>
    <w:pPr>
      <w:spacing w:before="160"/>
      <w:jc w:val="center"/>
    </w:pPr>
    <w:rPr>
      <w:i/>
      <w:iCs/>
      <w:color w:val="404040" w:themeColor="text1" w:themeTint="BF"/>
    </w:rPr>
  </w:style>
  <w:style w:type="character" w:customStyle="1" w:styleId="QuoteChar">
    <w:name w:val="Quote Char"/>
    <w:basedOn w:val="DefaultParagraphFont"/>
    <w:link w:val="Quote"/>
    <w:uiPriority w:val="29"/>
    <w:rsid w:val="00B941DB"/>
    <w:rPr>
      <w:i/>
      <w:iCs/>
      <w:color w:val="404040" w:themeColor="text1" w:themeTint="BF"/>
    </w:rPr>
  </w:style>
  <w:style w:type="paragraph" w:styleId="ListParagraph">
    <w:name w:val="List Paragraph"/>
    <w:basedOn w:val="Normal"/>
    <w:uiPriority w:val="34"/>
    <w:qFormat/>
    <w:rsid w:val="00B941DB"/>
    <w:pPr>
      <w:ind w:left="720"/>
      <w:contextualSpacing/>
    </w:pPr>
  </w:style>
  <w:style w:type="character" w:styleId="IntenseEmphasis">
    <w:name w:val="Intense Emphasis"/>
    <w:basedOn w:val="DefaultParagraphFont"/>
    <w:uiPriority w:val="21"/>
    <w:qFormat/>
    <w:rsid w:val="00B941DB"/>
    <w:rPr>
      <w:i/>
      <w:iCs/>
      <w:color w:val="0F4761" w:themeColor="accent1" w:themeShade="BF"/>
    </w:rPr>
  </w:style>
  <w:style w:type="paragraph" w:styleId="IntenseQuote">
    <w:name w:val="Intense Quote"/>
    <w:basedOn w:val="Normal"/>
    <w:next w:val="Normal"/>
    <w:link w:val="IntenseQuoteChar"/>
    <w:uiPriority w:val="30"/>
    <w:qFormat/>
    <w:rsid w:val="00B94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41DB"/>
    <w:rPr>
      <w:i/>
      <w:iCs/>
      <w:color w:val="0F4761" w:themeColor="accent1" w:themeShade="BF"/>
    </w:rPr>
  </w:style>
  <w:style w:type="character" w:styleId="IntenseReference">
    <w:name w:val="Intense Reference"/>
    <w:basedOn w:val="DefaultParagraphFont"/>
    <w:uiPriority w:val="32"/>
    <w:qFormat/>
    <w:rsid w:val="00B941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Stocchero</dc:creator>
  <cp:keywords/>
  <dc:description/>
  <cp:lastModifiedBy>Leonardo Stocchero</cp:lastModifiedBy>
  <cp:revision>1</cp:revision>
  <dcterms:created xsi:type="dcterms:W3CDTF">2026-10-19T13:34:00Z</dcterms:created>
  <dcterms:modified xsi:type="dcterms:W3CDTF">2026-10-19T14:04:00Z</dcterms:modified>
</cp:coreProperties>
</file>